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30B24" w14:textId="639A14B8" w:rsidR="003E65F7" w:rsidRPr="00C70F7C" w:rsidRDefault="003E65F7" w:rsidP="003E65F7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C70F7C">
        <w:rPr>
          <w:rFonts w:ascii="Times New Roman" w:hAnsi="Times New Roman"/>
          <w:noProof w:val="0"/>
          <w:sz w:val="24"/>
          <w:szCs w:val="24"/>
          <w:lang w:val="de-DE"/>
        </w:rPr>
        <w:t>3GPP TSG RAN WG1 #110</w:t>
      </w:r>
      <w:r w:rsidRPr="00C70F7C">
        <w:rPr>
          <w:rFonts w:ascii="Times New Roman" w:hAnsi="Times New Roman"/>
        </w:rPr>
        <w:tab/>
      </w:r>
      <w:r w:rsidRPr="00E30841">
        <w:rPr>
          <w:rFonts w:ascii="Times New Roman" w:hAnsi="Times New Roman"/>
          <w:noProof w:val="0"/>
          <w:sz w:val="24"/>
          <w:szCs w:val="24"/>
          <w:lang w:val="de-DE"/>
        </w:rPr>
        <w:t>R1-220</w:t>
      </w:r>
      <w:r w:rsidR="00E30841">
        <w:rPr>
          <w:rFonts w:ascii="Times New Roman" w:hAnsi="Times New Roman"/>
          <w:noProof w:val="0"/>
          <w:sz w:val="24"/>
          <w:szCs w:val="24"/>
          <w:lang w:val="de-DE"/>
        </w:rPr>
        <w:t>7303</w:t>
      </w:r>
    </w:p>
    <w:bookmarkEnd w:id="0"/>
    <w:p w14:paraId="7DDF1BBF" w14:textId="77777777" w:rsidR="003E65F7" w:rsidRPr="00C70F7C" w:rsidRDefault="003E65F7" w:rsidP="003E65F7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 w:rsidRPr="00C70F7C">
        <w:rPr>
          <w:b/>
          <w:sz w:val="24"/>
          <w:szCs w:val="24"/>
          <w:lang w:val="de-DE"/>
        </w:rPr>
        <w:t>Toulouse, France, August 22nd – 26th, 2022</w:t>
      </w:r>
    </w:p>
    <w:p w14:paraId="2CFE1919" w14:textId="75F6DC2F" w:rsidR="00850D96" w:rsidRPr="003E65F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de-DE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5155F916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</w:t>
      </w:r>
      <w:r w:rsidR="00B26D01">
        <w:rPr>
          <w:sz w:val="24"/>
          <w:szCs w:val="24"/>
        </w:rPr>
        <w:t xml:space="preserve">to RAN2 </w:t>
      </w:r>
      <w:r w:rsidR="006C2987" w:rsidRPr="006C2987">
        <w:rPr>
          <w:sz w:val="24"/>
          <w:szCs w:val="24"/>
        </w:rPr>
        <w:t>on RRC Parameters for IUC Scheme 1 and Default CBR Configuration</w:t>
      </w:r>
    </w:p>
    <w:p w14:paraId="682AA1DD" w14:textId="1FA5BDE8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1F5F18">
        <w:rPr>
          <w:sz w:val="24"/>
          <w:szCs w:val="24"/>
        </w:rPr>
        <w:t>2</w:t>
      </w:r>
      <w:r w:rsidR="00D32BE4" w:rsidRPr="002E2F37">
        <w:rPr>
          <w:sz w:val="24"/>
          <w:szCs w:val="24"/>
        </w:rPr>
        <w:t>0</w:t>
      </w:r>
      <w:r w:rsidR="00F12913">
        <w:rPr>
          <w:sz w:val="24"/>
          <w:szCs w:val="24"/>
        </w:rPr>
        <w:t>631</w:t>
      </w:r>
      <w:r w:rsidR="006C2987">
        <w:rPr>
          <w:sz w:val="24"/>
          <w:szCs w:val="24"/>
        </w:rPr>
        <w:t>2</w:t>
      </w:r>
    </w:p>
    <w:p w14:paraId="19DF8C3E" w14:textId="0693F8A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067CBB">
        <w:rPr>
          <w:sz w:val="24"/>
          <w:szCs w:val="24"/>
        </w:rPr>
        <w:t>7</w:t>
      </w:r>
    </w:p>
    <w:p w14:paraId="1E122AB7" w14:textId="6976FDE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Pr="002E2F37">
        <w:rPr>
          <w:sz w:val="24"/>
          <w:szCs w:val="24"/>
        </w:rPr>
        <w:t>SL</w:t>
      </w:r>
      <w:r w:rsidR="00067CBB">
        <w:rPr>
          <w:sz w:val="24"/>
          <w:szCs w:val="24"/>
        </w:rPr>
        <w:t>_enh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09975624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BD29E3">
        <w:rPr>
          <w:sz w:val="24"/>
          <w:szCs w:val="24"/>
        </w:rPr>
        <w:t>RAN1, A</w:t>
      </w:r>
      <w:r w:rsidR="00D32BE4" w:rsidRPr="002E2F37">
        <w:rPr>
          <w:sz w:val="24"/>
          <w:szCs w:val="24"/>
        </w:rPr>
        <w:t>pple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6B10808E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6C2987">
        <w:rPr>
          <w:sz w:val="24"/>
          <w:szCs w:val="24"/>
        </w:rPr>
        <w:t>RRC parameters for IUC scheme 1 and default CBR configuration</w:t>
      </w:r>
      <w:r w:rsidR="005D1BD9">
        <w:rPr>
          <w:sz w:val="24"/>
          <w:szCs w:val="24"/>
        </w:rPr>
        <w:t>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6DDE7893" w14:textId="0D8C1A8C" w:rsidR="005E28F1" w:rsidRPr="005E28F1" w:rsidRDefault="006C2987" w:rsidP="00CF4807">
            <w:pPr>
              <w:pStyle w:val="CommentText"/>
              <w:ind w:left="450" w:hanging="450"/>
              <w:jc w:val="both"/>
              <w:rPr>
                <w:rFonts w:cs="Arial"/>
                <w:lang w:val="en-US" w:eastAsia="zh-CN"/>
              </w:rPr>
            </w:pPr>
            <w:r w:rsidRPr="006C2987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Q1:</w:t>
            </w:r>
            <w:r w:rsidRPr="006C2987">
              <w:rPr>
                <w:rFonts w:cs="Arial"/>
                <w:sz w:val="24"/>
                <w:szCs w:val="24"/>
                <w:lang w:val="en-US" w:eastAsia="zh-CN"/>
              </w:rPr>
              <w:tab/>
              <w:t xml:space="preserve">For the parameter </w:t>
            </w:r>
            <w:proofErr w:type="spellStart"/>
            <w:r w:rsidRPr="006C2987">
              <w:rPr>
                <w:rFonts w:cs="Arial"/>
                <w:bCs/>
                <w:i/>
                <w:iCs/>
                <w:sz w:val="24"/>
                <w:szCs w:val="24"/>
              </w:rPr>
              <w:t>sl-TriggerConditionRequest</w:t>
            </w:r>
            <w:proofErr w:type="spellEnd"/>
            <w:r w:rsidRPr="006C2987">
              <w:rPr>
                <w:rFonts w:cs="Arial"/>
                <w:sz w:val="24"/>
                <w:szCs w:val="24"/>
                <w:lang w:val="en-US" w:eastAsia="zh-CN"/>
              </w:rPr>
              <w:t xml:space="preserve"> which is used to determine how to trigger IUC explicit request, does UE-B “</w:t>
            </w:r>
            <w:r w:rsidRPr="006C2987">
              <w:rPr>
                <w:rFonts w:cs="Arial"/>
                <w:bCs/>
                <w:sz w:val="24"/>
                <w:szCs w:val="24"/>
              </w:rPr>
              <w:t>has data to be transmitted to UE-A” mean UE-B is to piggyback the IUC Request with SL data transmission?</w:t>
            </w:r>
          </w:p>
        </w:tc>
      </w:tr>
    </w:tbl>
    <w:p w14:paraId="498B05CC" w14:textId="262D1438" w:rsidR="00785F6E" w:rsidRDefault="00181262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1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5E28F1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6C2987">
        <w:rPr>
          <w:rFonts w:eastAsia="Yu Mincho"/>
          <w:bCs/>
          <w:iCs/>
          <w:sz w:val="24"/>
          <w:szCs w:val="24"/>
          <w:lang w:val="en-US" w:eastAsia="ja-JP"/>
        </w:rPr>
        <w:t xml:space="preserve">Yes, UE-B “has data to be transmitted to UE-A” means UE-B is to piggyback the IUC request with sidelink data transmission. </w:t>
      </w:r>
      <w:r w:rsidR="005E28F1"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</w:p>
    <w:p w14:paraId="601B9C32" w14:textId="77777777" w:rsidR="00A71D29" w:rsidRDefault="00A71D29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  <w:lang w:val="en-US"/>
        </w:rPr>
      </w:pPr>
    </w:p>
    <w:p w14:paraId="6C434110" w14:textId="6B240689" w:rsidR="00A71D29" w:rsidRDefault="00A71D29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1D29" w14:paraId="6BF5F740" w14:textId="77777777" w:rsidTr="00A71D29">
        <w:tc>
          <w:tcPr>
            <w:tcW w:w="9629" w:type="dxa"/>
          </w:tcPr>
          <w:p w14:paraId="04D7F59B" w14:textId="6D1EA2E4" w:rsidR="00A71D29" w:rsidRPr="00A71D29" w:rsidRDefault="006C2987" w:rsidP="00CF4807">
            <w:pPr>
              <w:pStyle w:val="CommentText"/>
              <w:ind w:left="450" w:hanging="450"/>
              <w:jc w:val="both"/>
              <w:rPr>
                <w:rFonts w:cs="Arial"/>
                <w:lang w:val="en-US" w:eastAsia="zh-CN"/>
              </w:rPr>
            </w:pPr>
            <w:r w:rsidRPr="006C2987">
              <w:rPr>
                <w:rFonts w:cs="Arial"/>
                <w:b/>
                <w:bCs/>
                <w:sz w:val="24"/>
                <w:szCs w:val="24"/>
                <w:lang w:val="en-US" w:eastAsia="zh-CN"/>
              </w:rPr>
              <w:t>Q2:</w:t>
            </w:r>
            <w:r w:rsidRPr="006C2987">
              <w:rPr>
                <w:rFonts w:cs="Arial"/>
                <w:sz w:val="24"/>
                <w:szCs w:val="24"/>
                <w:lang w:val="en-US" w:eastAsia="zh-CN"/>
              </w:rPr>
              <w:tab/>
              <w:t xml:space="preserve">For the parameter </w:t>
            </w:r>
            <w:r w:rsidRPr="006C2987">
              <w:rPr>
                <w:rFonts w:cs="Arial"/>
                <w:bCs/>
                <w:i/>
                <w:iCs/>
                <w:sz w:val="24"/>
                <w:szCs w:val="24"/>
              </w:rPr>
              <w:t xml:space="preserve">sl-Condition1-A-2 </w:t>
            </w:r>
            <w:r w:rsidRPr="006C2987">
              <w:rPr>
                <w:rFonts w:cs="Arial"/>
                <w:sz w:val="24"/>
                <w:szCs w:val="24"/>
                <w:lang w:val="en-US" w:eastAsia="zh-CN"/>
              </w:rPr>
              <w:t xml:space="preserve">which is used to disable the usage of condition 1-A-2 in IUC Scheme 1, how will UE-A evaluate the condition “when it is intended receiver of UE-B” and how to capture this in 3GPP language? </w:t>
            </w:r>
          </w:p>
        </w:tc>
      </w:tr>
    </w:tbl>
    <w:p w14:paraId="57B18000" w14:textId="73E9672C" w:rsidR="006C2987" w:rsidRDefault="00A71D29" w:rsidP="006C2987">
      <w:pPr>
        <w:snapToGrid w:val="0"/>
        <w:spacing w:before="120" w:after="120"/>
        <w:jc w:val="both"/>
        <w:rPr>
          <w:rFonts w:eastAsia="Yu Mincho"/>
          <w:b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2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6C2987" w:rsidRPr="006C2987">
        <w:rPr>
          <w:rFonts w:eastAsia="Yu Mincho"/>
          <w:bCs/>
          <w:sz w:val="24"/>
          <w:szCs w:val="24"/>
          <w:lang w:eastAsia="ja-JP"/>
        </w:rPr>
        <w:t xml:space="preserve">For the parameter </w:t>
      </w:r>
      <w:r w:rsidR="006C2987" w:rsidRPr="006C2987">
        <w:rPr>
          <w:rFonts w:eastAsia="Yu Mincho"/>
          <w:bCs/>
          <w:i/>
          <w:iCs/>
          <w:sz w:val="24"/>
          <w:szCs w:val="24"/>
          <w:lang w:eastAsia="ja-JP"/>
        </w:rPr>
        <w:t>sl-Condition1-A-2</w:t>
      </w:r>
      <w:r w:rsidR="006C2987" w:rsidRPr="006C2987">
        <w:rPr>
          <w:rFonts w:eastAsia="Yu Mincho"/>
          <w:bCs/>
          <w:sz w:val="24"/>
          <w:szCs w:val="24"/>
          <w:lang w:eastAsia="ja-JP"/>
        </w:rPr>
        <w:t>,</w:t>
      </w:r>
      <w:r w:rsidR="006C2987" w:rsidRPr="006C2987">
        <w:rPr>
          <w:rFonts w:eastAsia="Yu Mincho"/>
          <w:bCs/>
          <w:sz w:val="24"/>
          <w:szCs w:val="24"/>
          <w:lang w:val="en-US" w:eastAsia="ja-JP"/>
        </w:rPr>
        <w:t xml:space="preserve"> UE-A does not evaluate the condition “when it is intended receiver of UE-B”. </w:t>
      </w:r>
      <w:r w:rsidR="00F167F6">
        <w:rPr>
          <w:rFonts w:eastAsia="Yu Mincho"/>
          <w:bCs/>
          <w:sz w:val="24"/>
          <w:szCs w:val="24"/>
          <w:lang w:val="en-US" w:eastAsia="ja-JP"/>
        </w:rPr>
        <w:t>UE-A is</w:t>
      </w:r>
      <w:r w:rsidR="006C2987" w:rsidRPr="006C2987">
        <w:rPr>
          <w:rFonts w:eastAsia="Yu Mincho"/>
          <w:bCs/>
          <w:sz w:val="24"/>
          <w:szCs w:val="24"/>
          <w:lang w:val="en-US" w:eastAsia="ja-JP"/>
        </w:rPr>
        <w:t xml:space="preserve"> autonomously assume</w:t>
      </w:r>
      <w:r w:rsidR="0095146C">
        <w:rPr>
          <w:rFonts w:eastAsia="Yu Mincho"/>
          <w:bCs/>
          <w:sz w:val="24"/>
          <w:szCs w:val="24"/>
          <w:lang w:val="en-US" w:eastAsia="ja-JP"/>
        </w:rPr>
        <w:t>d</w:t>
      </w:r>
      <w:r w:rsidR="006C2987" w:rsidRPr="006C2987">
        <w:rPr>
          <w:rFonts w:eastAsia="Yu Mincho"/>
          <w:bCs/>
          <w:sz w:val="24"/>
          <w:szCs w:val="24"/>
          <w:lang w:val="en-US" w:eastAsia="ja-JP"/>
        </w:rPr>
        <w:t xml:space="preserve"> </w:t>
      </w:r>
      <w:r w:rsidR="00F167F6">
        <w:rPr>
          <w:rFonts w:eastAsia="Yu Mincho"/>
          <w:bCs/>
          <w:sz w:val="24"/>
          <w:szCs w:val="24"/>
          <w:lang w:val="en-US" w:eastAsia="ja-JP"/>
        </w:rPr>
        <w:t xml:space="preserve">to be UE-B’s intended receiver </w:t>
      </w:r>
      <w:r w:rsidR="006C2987" w:rsidRPr="006C2987">
        <w:rPr>
          <w:rFonts w:eastAsia="Yu Mincho"/>
          <w:bCs/>
          <w:sz w:val="24"/>
          <w:szCs w:val="24"/>
          <w:lang w:val="en-US" w:eastAsia="ja-JP"/>
        </w:rPr>
        <w:t xml:space="preserve">when the parameter </w:t>
      </w:r>
      <w:r w:rsidR="006C2987" w:rsidRPr="006C2987">
        <w:rPr>
          <w:rFonts w:eastAsia="Yu Mincho"/>
          <w:bCs/>
          <w:i/>
          <w:iCs/>
          <w:sz w:val="24"/>
          <w:szCs w:val="24"/>
          <w:lang w:val="en-US" w:eastAsia="ja-JP"/>
        </w:rPr>
        <w:t>sl-Condition1-A-2</w:t>
      </w:r>
      <w:r w:rsidR="006C2987" w:rsidRPr="006C2987">
        <w:rPr>
          <w:rFonts w:eastAsia="Yu Mincho"/>
          <w:bCs/>
          <w:sz w:val="24"/>
          <w:szCs w:val="24"/>
          <w:lang w:val="en-US" w:eastAsia="ja-JP"/>
        </w:rPr>
        <w:t xml:space="preserve"> is not set to “disabled”. </w:t>
      </w:r>
    </w:p>
    <w:p w14:paraId="3B6EF051" w14:textId="686D713F" w:rsidR="006C2987" w:rsidRDefault="006C2987" w:rsidP="006C2987">
      <w:pPr>
        <w:snapToGrid w:val="0"/>
        <w:spacing w:before="120" w:after="120"/>
        <w:jc w:val="both"/>
        <w:rPr>
          <w:rFonts w:eastAsia="Yu Mincho"/>
          <w:bCs/>
          <w:sz w:val="24"/>
          <w:szCs w:val="24"/>
          <w:lang w:val="en-US" w:eastAsia="ja-JP"/>
        </w:rPr>
      </w:pPr>
      <w:r>
        <w:rPr>
          <w:rFonts w:eastAsia="Yu Mincho"/>
          <w:bCs/>
          <w:sz w:val="24"/>
          <w:szCs w:val="24"/>
          <w:lang w:val="en-US" w:eastAsia="ja-JP"/>
        </w:rPr>
        <w:lastRenderedPageBreak/>
        <w:t>RAN1 would like to provide answer to the following two 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2987" w14:paraId="2DB1C3EE" w14:textId="77777777" w:rsidTr="006C2987">
        <w:tc>
          <w:tcPr>
            <w:tcW w:w="9629" w:type="dxa"/>
          </w:tcPr>
          <w:p w14:paraId="17B6571B" w14:textId="77777777" w:rsidR="006C2987" w:rsidRPr="006C2987" w:rsidRDefault="006C2987" w:rsidP="006C29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20" w:after="120" w:line="276" w:lineRule="auto"/>
              <w:jc w:val="both"/>
              <w:rPr>
                <w:rFonts w:eastAsia="DengXian"/>
                <w:sz w:val="24"/>
                <w:szCs w:val="24"/>
                <w:lang w:eastAsia="zh-CN"/>
              </w:rPr>
            </w:pPr>
            <w:r w:rsidRPr="006C2987">
              <w:rPr>
                <w:rFonts w:eastAsia="DengXian"/>
                <w:sz w:val="24"/>
                <w:szCs w:val="24"/>
                <w:lang w:val="en-US" w:eastAsia="zh-CN"/>
              </w:rPr>
              <w:t>From RAN2 understanding, the parameters introduced in R17(</w:t>
            </w:r>
            <w:proofErr w:type="spellStart"/>
            <w:r w:rsidRPr="006C2987">
              <w:rPr>
                <w:rFonts w:eastAsia="Times New Roman"/>
                <w:i/>
                <w:sz w:val="24"/>
                <w:szCs w:val="24"/>
                <w:lang w:val="en-US"/>
              </w:rPr>
              <w:t>defaultCbrRandomSelection</w:t>
            </w:r>
            <w:proofErr w:type="spellEnd"/>
            <w:r w:rsidRPr="006C2987">
              <w:rPr>
                <w:rFonts w:eastAsia="Times New Roman"/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C2987">
              <w:rPr>
                <w:rFonts w:eastAsia="Times New Roman"/>
                <w:i/>
                <w:sz w:val="24"/>
                <w:szCs w:val="24"/>
                <w:lang w:val="en-US"/>
              </w:rPr>
              <w:t>defaultCbrPartialSensing</w:t>
            </w:r>
            <w:proofErr w:type="spellEnd"/>
            <w:r w:rsidRPr="006C2987">
              <w:rPr>
                <w:rFonts w:eastAsia="DengXian"/>
                <w:sz w:val="24"/>
                <w:szCs w:val="24"/>
                <w:lang w:val="en-US" w:eastAsia="zh-CN"/>
              </w:rPr>
              <w:t xml:space="preserve">) are </w:t>
            </w:r>
            <w:proofErr w:type="spellStart"/>
            <w:r w:rsidRPr="006C2987">
              <w:rPr>
                <w:rFonts w:eastAsia="DengXian"/>
                <w:sz w:val="24"/>
                <w:szCs w:val="24"/>
                <w:lang w:val="en-US" w:eastAsia="zh-CN"/>
              </w:rPr>
              <w:t>redundunt</w:t>
            </w:r>
            <w:proofErr w:type="spellEnd"/>
            <w:r w:rsidRPr="006C2987">
              <w:rPr>
                <w:rFonts w:eastAsia="DengXian"/>
                <w:sz w:val="24"/>
                <w:szCs w:val="24"/>
                <w:lang w:val="en-US" w:eastAsia="zh-CN"/>
              </w:rPr>
              <w:t xml:space="preserve"> with the above R16 parameter (</w:t>
            </w:r>
            <w:proofErr w:type="spellStart"/>
            <w:r w:rsidRPr="006C2987">
              <w:rPr>
                <w:rFonts w:eastAsia="DengXian"/>
                <w:i/>
                <w:sz w:val="24"/>
                <w:szCs w:val="24"/>
                <w:lang w:val="en-US" w:eastAsia="zh-CN"/>
              </w:rPr>
              <w:t>sl-DefaultTxConfigIndex</w:t>
            </w:r>
            <w:proofErr w:type="spellEnd"/>
            <w:r w:rsidRPr="006C2987">
              <w:rPr>
                <w:rFonts w:eastAsia="DengXian"/>
                <w:sz w:val="24"/>
                <w:szCs w:val="24"/>
                <w:lang w:val="en-US" w:eastAsia="zh-CN"/>
              </w:rPr>
              <w:t xml:space="preserve">). </w:t>
            </w:r>
            <w:r w:rsidRPr="006C2987">
              <w:rPr>
                <w:sz w:val="24"/>
                <w:szCs w:val="24"/>
                <w:lang w:eastAsia="zh-CN"/>
              </w:rPr>
              <w:t>For the above defined R16/R17 default CBR parameters, RAN2 respectfully asks RAN1 on the following questions:</w:t>
            </w:r>
          </w:p>
          <w:p w14:paraId="493871E3" w14:textId="77777777" w:rsidR="006C2987" w:rsidRPr="006C2987" w:rsidRDefault="006C2987" w:rsidP="006C29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00" w:afterAutospacing="1"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6C2987">
              <w:rPr>
                <w:rFonts w:eastAsia="Malgun Gothic"/>
                <w:b/>
                <w:sz w:val="24"/>
                <w:szCs w:val="24"/>
                <w:lang w:eastAsia="ko-KR"/>
              </w:rPr>
              <w:t>Q3</w:t>
            </w:r>
            <w:r w:rsidRPr="006C2987">
              <w:rPr>
                <w:rFonts w:eastAsia="Malgun Gothic"/>
                <w:sz w:val="24"/>
                <w:szCs w:val="24"/>
                <w:lang w:eastAsia="ko-KR"/>
              </w:rPr>
              <w:t xml:space="preserve">: Is there still a need for the </w:t>
            </w:r>
            <w:r w:rsidRPr="006C2987">
              <w:rPr>
                <w:sz w:val="24"/>
                <w:szCs w:val="24"/>
                <w:lang w:eastAsia="zh-CN"/>
              </w:rPr>
              <w:t>R17 default CBR parameters considering the existing R16 default CBR parameter?</w:t>
            </w:r>
          </w:p>
          <w:p w14:paraId="30CFC47D" w14:textId="2D60B9EF" w:rsidR="006C2987" w:rsidRPr="006C2987" w:rsidRDefault="006C2987" w:rsidP="006C29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00" w:afterAutospacing="1" w:line="276" w:lineRule="auto"/>
              <w:jc w:val="both"/>
              <w:rPr>
                <w:rFonts w:eastAsia="Malgun Gothic"/>
                <w:szCs w:val="22"/>
                <w:lang w:eastAsia="ko-KR"/>
              </w:rPr>
            </w:pPr>
            <w:r w:rsidRPr="006C2987">
              <w:rPr>
                <w:b/>
                <w:bCs/>
                <w:sz w:val="24"/>
                <w:szCs w:val="32"/>
                <w:lang w:eastAsia="zh-CN"/>
              </w:rPr>
              <w:t>Q4</w:t>
            </w:r>
            <w:r w:rsidRPr="006C2987">
              <w:rPr>
                <w:sz w:val="24"/>
                <w:szCs w:val="32"/>
                <w:lang w:eastAsia="zh-CN"/>
              </w:rPr>
              <w:t>: If yes to Q3, how to differentiate the usage of the R16 / R17 default CBR parameters?</w:t>
            </w:r>
          </w:p>
        </w:tc>
      </w:tr>
    </w:tbl>
    <w:p w14:paraId="499E7001" w14:textId="74E2643B" w:rsidR="006C2987" w:rsidRPr="006C2987" w:rsidRDefault="006C2987" w:rsidP="006C2987">
      <w:pPr>
        <w:snapToGrid w:val="0"/>
        <w:spacing w:before="120" w:after="120"/>
        <w:jc w:val="both"/>
        <w:rPr>
          <w:rFonts w:eastAsia="Yu Mincho"/>
          <w:b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3 and Question 4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Pr="006C2987">
        <w:rPr>
          <w:iCs/>
          <w:sz w:val="24"/>
          <w:szCs w:val="24"/>
          <w:lang w:eastAsia="x-none"/>
        </w:rPr>
        <w:t xml:space="preserve">It is up to RAN2 </w:t>
      </w:r>
      <w:r w:rsidR="0095146C">
        <w:rPr>
          <w:iCs/>
          <w:sz w:val="24"/>
          <w:szCs w:val="24"/>
          <w:lang w:eastAsia="x-none"/>
        </w:rPr>
        <w:t>to decide</w:t>
      </w:r>
      <w:r w:rsidRPr="006C2987">
        <w:rPr>
          <w:iCs/>
          <w:sz w:val="24"/>
          <w:szCs w:val="24"/>
          <w:lang w:eastAsia="x-none"/>
        </w:rPr>
        <w:t xml:space="preserve"> whether the two new RRC parameters (</w:t>
      </w:r>
      <w:proofErr w:type="spellStart"/>
      <w:r w:rsidRPr="006C2987">
        <w:rPr>
          <w:i/>
          <w:sz w:val="24"/>
          <w:szCs w:val="24"/>
        </w:rPr>
        <w:t>defaultCbrRandomSelection</w:t>
      </w:r>
      <w:proofErr w:type="spellEnd"/>
      <w:r w:rsidRPr="006C2987">
        <w:rPr>
          <w:iCs/>
          <w:sz w:val="24"/>
          <w:szCs w:val="24"/>
        </w:rPr>
        <w:t xml:space="preserve"> and </w:t>
      </w:r>
      <w:proofErr w:type="spellStart"/>
      <w:r w:rsidRPr="006C2987">
        <w:rPr>
          <w:i/>
          <w:sz w:val="24"/>
          <w:szCs w:val="24"/>
        </w:rPr>
        <w:t>defaultCbrPartialSensing</w:t>
      </w:r>
      <w:proofErr w:type="spellEnd"/>
      <w:r w:rsidRPr="006C2987">
        <w:rPr>
          <w:iCs/>
          <w:sz w:val="24"/>
          <w:szCs w:val="24"/>
          <w:lang w:eastAsia="x-none"/>
        </w:rPr>
        <w:t xml:space="preserve">) </w:t>
      </w:r>
      <w:r w:rsidR="00B62C3A">
        <w:rPr>
          <w:iCs/>
          <w:sz w:val="24"/>
          <w:szCs w:val="24"/>
          <w:lang w:eastAsia="x-none"/>
        </w:rPr>
        <w:t>are redundant</w:t>
      </w:r>
      <w:r w:rsidRPr="006C2987">
        <w:rPr>
          <w:iCs/>
          <w:sz w:val="24"/>
          <w:szCs w:val="24"/>
        </w:rPr>
        <w:t xml:space="preserve">, for the case of no </w:t>
      </w:r>
      <w:r>
        <w:rPr>
          <w:iCs/>
          <w:sz w:val="24"/>
          <w:szCs w:val="24"/>
        </w:rPr>
        <w:t>sidelink</w:t>
      </w:r>
      <w:r w:rsidRPr="006C2987">
        <w:rPr>
          <w:iCs/>
          <w:sz w:val="24"/>
          <w:szCs w:val="24"/>
        </w:rPr>
        <w:t xml:space="preserve"> CBR measurement in random resource selection scheme and for the case of the number of </w:t>
      </w:r>
      <w:r>
        <w:rPr>
          <w:iCs/>
          <w:sz w:val="24"/>
          <w:szCs w:val="24"/>
        </w:rPr>
        <w:t>sidelink</w:t>
      </w:r>
      <w:r w:rsidRPr="006C2987">
        <w:rPr>
          <w:iCs/>
          <w:sz w:val="24"/>
          <w:szCs w:val="24"/>
        </w:rPr>
        <w:t xml:space="preserve"> RSSI measurements slots </w:t>
      </w:r>
      <w:r w:rsidR="00CF4807">
        <w:rPr>
          <w:iCs/>
          <w:sz w:val="24"/>
          <w:szCs w:val="24"/>
        </w:rPr>
        <w:t>being</w:t>
      </w:r>
      <w:r w:rsidRPr="006C2987">
        <w:rPr>
          <w:iCs/>
          <w:sz w:val="24"/>
          <w:szCs w:val="24"/>
        </w:rPr>
        <w:t xml:space="preserve"> below a (pre)configured threshold in partial sensing scheme.</w:t>
      </w:r>
    </w:p>
    <w:p w14:paraId="7DF5F9CE" w14:textId="4F887197" w:rsidR="007E2446" w:rsidRPr="001F5F18" w:rsidRDefault="007E2446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2E9A9DD3" w14:textId="1A7D1A39" w:rsidR="0065189D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</w:t>
      </w:r>
      <w:r w:rsidR="001F5F18">
        <w:rPr>
          <w:sz w:val="24"/>
          <w:szCs w:val="24"/>
        </w:rPr>
        <w:t>10bis</w:t>
      </w:r>
      <w:r w:rsidRPr="002E2F37">
        <w:rPr>
          <w:sz w:val="24"/>
          <w:szCs w:val="24"/>
        </w:rPr>
        <w:t>-e</w:t>
      </w:r>
      <w:r w:rsidRPr="002E2F37">
        <w:rPr>
          <w:sz w:val="24"/>
          <w:szCs w:val="24"/>
        </w:rPr>
        <w:tab/>
      </w:r>
      <w:proofErr w:type="gramStart"/>
      <w:r w:rsidRPr="002E2F37">
        <w:rPr>
          <w:sz w:val="24"/>
          <w:szCs w:val="24"/>
        </w:rPr>
        <w:tab/>
        <w:t xml:space="preserve">  1</w:t>
      </w:r>
      <w:r w:rsidR="001F5F18">
        <w:rPr>
          <w:sz w:val="24"/>
          <w:szCs w:val="24"/>
        </w:rPr>
        <w:t>0</w:t>
      </w:r>
      <w:proofErr w:type="gramEnd"/>
      <w:r w:rsidRPr="002E2F37">
        <w:rPr>
          <w:sz w:val="24"/>
          <w:szCs w:val="24"/>
        </w:rPr>
        <w:t xml:space="preserve"> </w:t>
      </w:r>
      <w:r w:rsidR="006C2987">
        <w:rPr>
          <w:sz w:val="24"/>
          <w:szCs w:val="24"/>
        </w:rPr>
        <w:t xml:space="preserve">– </w:t>
      </w:r>
      <w:r w:rsidRPr="002E2F37">
        <w:rPr>
          <w:sz w:val="24"/>
          <w:szCs w:val="24"/>
        </w:rPr>
        <w:t>1</w:t>
      </w:r>
      <w:r w:rsidR="005E28F1">
        <w:rPr>
          <w:sz w:val="24"/>
          <w:szCs w:val="24"/>
        </w:rPr>
        <w:t>9</w:t>
      </w:r>
      <w:r w:rsidR="006C2987">
        <w:rPr>
          <w:sz w:val="24"/>
          <w:szCs w:val="24"/>
        </w:rPr>
        <w:t xml:space="preserve"> </w:t>
      </w:r>
      <w:r w:rsidR="001F5F18">
        <w:rPr>
          <w:sz w:val="24"/>
          <w:szCs w:val="24"/>
        </w:rPr>
        <w:t>October</w:t>
      </w:r>
      <w:r w:rsidRPr="002E2F37">
        <w:rPr>
          <w:sz w:val="24"/>
          <w:szCs w:val="24"/>
        </w:rPr>
        <w:t>, 202</w:t>
      </w:r>
      <w:r w:rsidR="001F5F18">
        <w:rPr>
          <w:sz w:val="24"/>
          <w:szCs w:val="24"/>
        </w:rPr>
        <w:t xml:space="preserve">2  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  <w:t xml:space="preserve">  </w:t>
      </w:r>
      <w:proofErr w:type="spellStart"/>
      <w:r w:rsidRPr="002E2F37">
        <w:rPr>
          <w:sz w:val="24"/>
          <w:szCs w:val="24"/>
        </w:rPr>
        <w:t>eMeeting</w:t>
      </w:r>
      <w:proofErr w:type="spellEnd"/>
    </w:p>
    <w:p w14:paraId="7326257F" w14:textId="246B61D5" w:rsidR="005D1BD9" w:rsidRPr="002E2F37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 xml:space="preserve">TSG RAN WG1 Meeting #111 </w:t>
      </w:r>
      <w:r w:rsidR="005E28F1">
        <w:rPr>
          <w:sz w:val="24"/>
          <w:szCs w:val="24"/>
        </w:rPr>
        <w:t xml:space="preserve">         14 – 18 </w:t>
      </w:r>
      <w:proofErr w:type="gramStart"/>
      <w:r w:rsidR="005E28F1">
        <w:rPr>
          <w:sz w:val="24"/>
          <w:szCs w:val="24"/>
        </w:rPr>
        <w:t>November,</w:t>
      </w:r>
      <w:proofErr w:type="gramEnd"/>
      <w:r w:rsidR="005E28F1">
        <w:rPr>
          <w:sz w:val="24"/>
          <w:szCs w:val="24"/>
        </w:rPr>
        <w:t xml:space="preserve"> 2022      Canada</w:t>
      </w:r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35F02" w14:textId="77777777" w:rsidR="00B31066" w:rsidRDefault="00B31066">
      <w:r>
        <w:separator/>
      </w:r>
    </w:p>
  </w:endnote>
  <w:endnote w:type="continuationSeparator" w:id="0">
    <w:p w14:paraId="26B13F2C" w14:textId="77777777" w:rsidR="00B31066" w:rsidRDefault="00B31066">
      <w:r>
        <w:continuationSeparator/>
      </w:r>
    </w:p>
  </w:endnote>
  <w:endnote w:type="continuationNotice" w:id="1">
    <w:p w14:paraId="0DB6621C" w14:textId="77777777" w:rsidR="00B31066" w:rsidRDefault="00B310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D9F6B" w14:textId="77777777" w:rsidR="00B31066" w:rsidRDefault="00B31066">
      <w:r>
        <w:separator/>
      </w:r>
    </w:p>
  </w:footnote>
  <w:footnote w:type="continuationSeparator" w:id="0">
    <w:p w14:paraId="473A547C" w14:textId="77777777" w:rsidR="00B31066" w:rsidRDefault="00B31066">
      <w:r>
        <w:continuationSeparator/>
      </w:r>
    </w:p>
  </w:footnote>
  <w:footnote w:type="continuationNotice" w:id="1">
    <w:p w14:paraId="4975B7DC" w14:textId="77777777" w:rsidR="00B31066" w:rsidRDefault="00B310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3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2"/>
  </w:num>
  <w:num w:numId="21" w16cid:durableId="1435517243">
    <w:abstractNumId w:val="45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39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1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6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0"/>
  </w:num>
  <w:num w:numId="48" w16cid:durableId="525408941">
    <w:abstractNumId w:val="16"/>
  </w:num>
  <w:num w:numId="49" w16cid:durableId="1824617383">
    <w:abstractNumId w:val="4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2022-08-12T02:22:00Z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